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36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36"/>
          <w:u w:val="none"/>
        </w:rPr>
        <w:t xml:space="preserve">USNESENÍ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z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e 4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. zasedání Zastupitelstva obce v Janově nad Nisou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konaného dne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30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. 2025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30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shd w:val="clear" w:fill="FFFFFF"/>
        <w:tabs>
          <w:tab w:val="clear" w:pos="709"/>
          <w:tab w:val="left" w:pos="1024" w:leader="none"/>
        </w:tabs>
        <w:spacing w:lineRule="atLeast" w:line="100" w:before="0" w:after="120"/>
        <w:ind w:end="30"/>
        <w:jc w:val="both"/>
        <w:rPr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>ZO schvaluje účetní závěrku /dle vyhlášky 220/2013 Sb./ příspěvkové organizace Základní škola a Mateřská škola Janov nad Nisou za rok 2024. K řádnému schválení účetní závěrky byly předloženy ZO dokumenty Rozvaha a Výkaz zisku a ztráty a dokument Příloha.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31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>ZO schvaluje výsledek hospodaření příspěvkové organizace Základní škola a Mateřská škola Janov nad Nisou za rok 2024 ve výši +60.347,75 Kč a souhlasí s převedením zlepšeného výsledku hospodaření ve výši + 60.347,75 Kč do rezervního fondu školy.</w:t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32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>ZO schvaluje převod částky + 6.191,33 / výše snížených výdajů za mandatorní položky/ z rezervního fondu do fondu investic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33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zxx" w:bidi="ar-SA"/>
        </w:rPr>
        <w:t xml:space="preserve">ZO nařizuje příspěvkové organizaci Základní škola a Mateřská škola Janov nad Nisou převedení částky + 54.060,33 Kč (47.869, - Kč /odpisy/+ 6.191,33 / výše snížených výdajů za mandatorní položky/) z fondu investic školy zřizovateli školy.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34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/>
        <w:shd w:val="clear" w:fill="FFFFFF"/>
        <w:tabs>
          <w:tab w:val="clear" w:pos="709"/>
          <w:tab w:val="left" w:pos="1054" w:leader="none"/>
          <w:tab w:val="left" w:pos="1665" w:leader="none"/>
        </w:tabs>
        <w:suppressAutoHyphens w:val="false"/>
        <w:spacing w:before="0" w:after="120"/>
        <w:ind w:end="60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ZO Janov nad Nisou revokuje usnesení č. 21/2025 v tomto znění: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ZO Janov nad Nisou schvaluje uzavření  Dohody o uznání vzniku bezdůvodného obohacení a jeho vydání číslo 25DHM910… mezi Povodí Labe, s.p. (vlastník) a Obcí Janov nad Nisou (uživatel) a uživatel uhradí vlastníkovi za užívání předmětu dohody  částku 600,- Kč + DPH v zákonné výši.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35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 w:val="false"/>
        <w:shd w:val="clear" w:fill="FFFFFF"/>
        <w:tabs>
          <w:tab w:val="clear" w:pos="709"/>
          <w:tab w:val="left" w:pos="1024" w:leader="none"/>
        </w:tabs>
        <w:suppressAutoHyphens w:val="true"/>
        <w:bidi w:val="0"/>
        <w:spacing w:lineRule="atLeast" w:line="100" w:before="0" w:after="120"/>
        <w:ind w:end="3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 xml:space="preserve">ZO Janov nad Nisou revokuje usnesení č. 22/2025 v tomto znění: </w:t>
      </w:r>
      <w:r>
        <w:rPr>
          <w:rStyle w:val="Hyperlink"/>
          <w:rFonts w:eastAsia="Tahom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O Janov nad Nisou schvaluje uzavření Smlouvy o nájmu pozemku číslo 25DHM910….  mezi  Povodí Labe, s.p. a Obcí Janov nad Nisou na část pozemku ppč. 1381/6 k. ú. Janov nad Nisou o výměře 14 m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vertAlign w:val="superscript"/>
          <w:lang w:val="cs-CZ" w:eastAsia="cs-CZ" w:bidi="cs-CZ"/>
        </w:rPr>
        <w:t>2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za cenu ve výši 230,- Kč/rok.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36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 xml:space="preserve">ZO Janov nad Nisou schvaluje Dohodu o uznání vzniku bezdůvodného obohacení a jeho vydání číslo 25DHM91000140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mezi Povodí Labe, s.p. (vlastník) a Obcí Janov nad Nisou (uživatel) a uživatel uhradí vlastníkovi za užívání předmětu dohody  částku 3.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67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0,- Kč + DPH v zákonné výši.</w:t>
      </w:r>
    </w:p>
    <w:p>
      <w:pPr>
        <w:pStyle w:val="Normal"/>
        <w:jc w:val="both"/>
        <w:rPr>
          <w:rStyle w:val="Hyperlink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37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 xml:space="preserve">ZO Janov nad Nisou schvaluje </w:t>
      </w:r>
      <w:r>
        <w:rPr>
          <w:rStyle w:val="Hyperlink"/>
          <w:rFonts w:eastAsia="Tahom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O Janov nad Nisou schvaluje uzavření Smlouvy o nájmu pozemku číslo 25DHM91000139 mezi  Povodí Labe, s.p. a Obcí Janov nad Nisou na  pozemek ppč. 1381/6 k. ú. Janov nad Nisou o výměře 313 m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vertAlign w:val="superscript"/>
          <w:lang w:val="cs-CZ" w:eastAsia="cs-CZ" w:bidi="cs-CZ"/>
        </w:rPr>
        <w:t>2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za cenu ve výši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1.400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,- Kč/rok.</w:t>
      </w:r>
    </w:p>
    <w:p>
      <w:pPr>
        <w:pStyle w:val="Normal"/>
        <w:jc w:val="both"/>
        <w:rPr>
          <w:rStyle w:val="Hyperlink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</w:pPr>
      <w:r>
        <w:rPr/>
      </w:r>
    </w:p>
    <w:p>
      <w:pPr>
        <w:pStyle w:val="Normal"/>
        <w:jc w:val="both"/>
        <w:rPr>
          <w:rStyle w:val="Hyperlink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</w:pPr>
      <w:r>
        <w:rPr/>
      </w:r>
    </w:p>
    <w:p>
      <w:pPr>
        <w:pStyle w:val="Normal"/>
        <w:jc w:val="both"/>
        <w:rPr>
          <w:rStyle w:val="Hyperlink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38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 xml:space="preserve">ZO Janov nad Nisou schvaluje uzavření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Smlouvy o zřízení věcného břemene – služebnosti č. CEZd_SoVB 291624/IP-12-4015986</w:t>
      </w:r>
      <w:r>
        <w:rPr>
          <w:rStyle w:val="Hyperlink"/>
          <w:rFonts w:eastAsia="Tahom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 na umístění, provozování, opravy a udržování zařízení distribuční soustavy na pozemcích ppč. 1750/1 a 1476/14 k. ú. Loučná nad Nisou pro ČEZ Distribuce, a.s., Te</w:t>
      </w:r>
      <w:r>
        <w:rPr>
          <w:rStyle w:val="Hyperlink"/>
          <w:rFonts w:eastAsia="Times New Roman" w:cs="Times New Roman;Times New Roman PSMT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plická 874/8, 405 02 Děčín, IČ: 24729035 za cenu 2.000,- Kč + DPH v zákonné výši.</w:t>
      </w:r>
    </w:p>
    <w:p>
      <w:pPr>
        <w:pStyle w:val="Normal"/>
        <w:jc w:val="both"/>
        <w:rPr>
          <w:rStyle w:val="Hyperlink"/>
          <w:rFonts w:ascii="Times New Roman" w:hAnsi="Times New Roman" w:eastAsia="Times New Roman" w:cs="Times New Roman;Times New Roman PSMT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39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/>
        <w:shd w:val="clear" w:fill="FFFFFF"/>
        <w:tabs>
          <w:tab w:val="clear" w:pos="709"/>
          <w:tab w:val="left" w:pos="1210" w:leader="none"/>
        </w:tabs>
        <w:suppressAutoHyphens w:val="false"/>
        <w:bidi w:val="0"/>
        <w:spacing w:lineRule="auto" w:line="240" w:before="0" w:after="120"/>
        <w:ind w:hanging="0" w:start="0" w:end="30"/>
        <w:jc w:val="both"/>
        <w:rPr/>
      </w:pPr>
      <w:r>
        <w:rPr>
          <w:rStyle w:val="Hyperlink"/>
          <w:rFonts w:cs="Times New Roman" w:ascii="Times New Roman" w:hAnsi="Times New Roman"/>
          <w:b/>
          <w:bCs/>
          <w:color w:val="000000"/>
          <w:u w:val="none"/>
        </w:rPr>
        <w:t>ZO Janov nad Nisou schvaluje rozpočtové opatření č.  1/2025.</w:t>
      </w:r>
    </w:p>
    <w:p>
      <w:pPr>
        <w:pStyle w:val="Normal"/>
        <w:rPr>
          <w:rFonts w:ascii="Times New Roman" w:hAnsi="Times New Roman" w:eastAsia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lang w:val="cs-CZ" w:eastAsia="zxx" w:bidi="ar-SA"/>
        </w:rPr>
      </w:pPr>
      <w:r>
        <w:rPr>
          <w:rFonts w:eastAsia="Times New Roman" w:ascii="Times New Roman" w:hAnsi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lang w:val="cs-CZ" w:eastAsia="zxx" w:bidi="ar-SA"/>
        </w:rPr>
      </w:r>
    </w:p>
    <w:tbl>
      <w:tblPr>
        <w:tblW w:w="5160" w:type="dxa"/>
        <w:jc w:val="start"/>
        <w:tblInd w:w="0" w:type="dxa"/>
        <w:tblLayout w:type="fixed"/>
        <w:tblCellMar>
          <w:top w:w="34" w:type="dxa"/>
          <w:start w:w="0" w:type="dxa"/>
          <w:bottom w:w="34" w:type="dxa"/>
          <w:end w:w="0" w:type="dxa"/>
        </w:tblCellMar>
        <w:tblLook w:firstRow="1" w:noVBand="1" w:lastRow="0" w:firstColumn="1" w:lastColumn="0" w:noHBand="0" w:val="04a0"/>
      </w:tblPr>
      <w:tblGrid>
        <w:gridCol w:w="218"/>
        <w:gridCol w:w="225"/>
        <w:gridCol w:w="109"/>
        <w:gridCol w:w="112"/>
        <w:gridCol w:w="440"/>
        <w:gridCol w:w="553"/>
        <w:gridCol w:w="3503"/>
      </w:tblGrid>
      <w:tr>
        <w:trPr>
          <w:cantSplit w:val="true"/>
        </w:trPr>
        <w:tc>
          <w:tcPr>
            <w:tcW w:w="218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</w:r>
          </w:p>
        </w:tc>
        <w:tc>
          <w:tcPr>
            <w:tcW w:w="446" w:type="dxa"/>
            <w:gridSpan w:val="3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OdPa</w:t>
            </w:r>
          </w:p>
        </w:tc>
        <w:tc>
          <w:tcPr>
            <w:tcW w:w="440" w:type="dxa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Pol</w:t>
            </w:r>
          </w:p>
        </w:tc>
        <w:tc>
          <w:tcPr>
            <w:tcW w:w="4056" w:type="dxa"/>
            <w:gridSpan w:val="2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Změna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1334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8 500,00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1335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2 000,00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3)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1381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color w:val="FF0000"/>
                <w:sz w:val="14"/>
              </w:rPr>
              <w:t>-128 000 ,00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4)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1386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96 000,00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5)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1387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32 000,00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6)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2310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2111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83 000,00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7)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3632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2139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8)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3639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2119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53 400,00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9)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3639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2131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50 000,00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10)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3639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2324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3 500,00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11)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3725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2111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60 000,00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12)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6171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3119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4 800,00</w:t>
            </w:r>
          </w:p>
        </w:tc>
      </w:tr>
      <w:tr>
        <w:trPr>
          <w:trHeight w:val="249" w:hRule="atLeast"/>
          <w:cantSplit w:val="true"/>
        </w:trPr>
        <w:tc>
          <w:tcPr>
            <w:tcW w:w="443" w:type="dxa"/>
            <w:gridSpan w:val="2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1214" w:type="dxa"/>
            <w:gridSpan w:val="4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350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9" w:hRule="atLeast"/>
          <w:cantSplit w:val="true"/>
        </w:trPr>
        <w:tc>
          <w:tcPr>
            <w:tcW w:w="443" w:type="dxa"/>
            <w:gridSpan w:val="2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1214" w:type="dxa"/>
            <w:gridSpan w:val="4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 </w:t>
            </w:r>
            <w:r>
              <w:rPr>
                <w:rFonts w:ascii="Calibri" w:hAnsi="Calibri"/>
                <w:b/>
                <w:sz w:val="14"/>
              </w:rPr>
              <w:t>266 200,00</w:t>
            </w:r>
          </w:p>
        </w:tc>
        <w:tc>
          <w:tcPr>
            <w:tcW w:w="350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18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</w:r>
          </w:p>
        </w:tc>
        <w:tc>
          <w:tcPr>
            <w:tcW w:w="446" w:type="dxa"/>
            <w:gridSpan w:val="3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OdPa</w:t>
            </w:r>
          </w:p>
        </w:tc>
        <w:tc>
          <w:tcPr>
            <w:tcW w:w="440" w:type="dxa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Pol</w:t>
            </w:r>
          </w:p>
        </w:tc>
        <w:tc>
          <w:tcPr>
            <w:tcW w:w="4056" w:type="dxa"/>
            <w:gridSpan w:val="2"/>
            <w:tcBorders>
              <w:bottom w:val="single" w:sz="6" w:space="0" w:color="000000"/>
            </w:tcBorders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i/>
                <w:sz w:val="14"/>
              </w:rPr>
              <w:t>Změna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13)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1036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112 300,00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14)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1039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color w:val="FF0000"/>
                <w:sz w:val="14"/>
              </w:rPr>
              <w:t>-112 300 ,00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15)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2321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5362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11 600,00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16)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2321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5493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21 000,00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17)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2321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2 200 000,00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18)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3113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8 000,00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19)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3113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22 200,00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20)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5154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1 193 000,00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21)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color w:val="FF0000"/>
                <w:sz w:val="14"/>
              </w:rPr>
              <w:t>-1 195 000 ,00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22)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175 900,00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23)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3631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5365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9 000,00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24)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3769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5363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42 500,00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25)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4351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5321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2 200,00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26)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5512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5167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7 700,00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27)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6171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5362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100,00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28)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6171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color w:val="FF0000"/>
                <w:sz w:val="14"/>
              </w:rPr>
              <w:t>-2 248 219 ,00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29)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6402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5364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5 267,00</w:t>
            </w:r>
          </w:p>
        </w:tc>
      </w:tr>
      <w:tr>
        <w:trPr>
          <w:cantSplit w:val="true"/>
        </w:trPr>
        <w:tc>
          <w:tcPr>
            <w:tcW w:w="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30)</w:t>
            </w:r>
          </w:p>
        </w:tc>
        <w:tc>
          <w:tcPr>
            <w:tcW w:w="446" w:type="dxa"/>
            <w:gridSpan w:val="3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6402</w:t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5364</w:t>
            </w:r>
          </w:p>
        </w:tc>
        <w:tc>
          <w:tcPr>
            <w:tcW w:w="4056" w:type="dxa"/>
            <w:gridSpan w:val="2"/>
            <w:tcBorders/>
            <w:tcMar>
              <w:start w:w="40" w:type="dxa"/>
              <w:end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sz w:val="14"/>
              </w:rPr>
              <w:t> </w:t>
            </w:r>
            <w:r>
              <w:rPr>
                <w:rFonts w:ascii="Calibri" w:hAnsi="Calibri"/>
                <w:sz w:val="14"/>
              </w:rPr>
              <w:t>10 952,00</w:t>
            </w:r>
          </w:p>
        </w:tc>
      </w:tr>
      <w:tr>
        <w:trPr>
          <w:trHeight w:val="249" w:hRule="atLeast"/>
          <w:cantSplit w:val="true"/>
        </w:trPr>
        <w:tc>
          <w:tcPr>
            <w:tcW w:w="443" w:type="dxa"/>
            <w:gridSpan w:val="2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1214" w:type="dxa"/>
            <w:gridSpan w:val="4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350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9" w:hRule="atLeast"/>
          <w:cantSplit w:val="true"/>
        </w:trPr>
        <w:tc>
          <w:tcPr>
            <w:tcW w:w="443" w:type="dxa"/>
            <w:gridSpan w:val="2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</w:r>
          </w:p>
        </w:tc>
        <w:tc>
          <w:tcPr>
            <w:tcW w:w="1214" w:type="dxa"/>
            <w:gridSpan w:val="4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/>
            </w:pPr>
            <w:r>
              <w:rPr>
                <w:rFonts w:ascii="Calibri" w:hAnsi="Calibri"/>
                <w:b/>
                <w:sz w:val="14"/>
              </w:rPr>
              <w:t> </w:t>
            </w:r>
            <w:r>
              <w:rPr>
                <w:rFonts w:ascii="Calibri" w:hAnsi="Calibri"/>
                <w:b/>
                <w:sz w:val="14"/>
              </w:rPr>
              <w:t>266 200,00</w:t>
            </w:r>
          </w:p>
        </w:tc>
        <w:tc>
          <w:tcPr>
            <w:tcW w:w="350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52" w:type="dxa"/>
            <w:gridSpan w:val="3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spacing w:lineRule="auto" w:line="240" w:before="0" w:after="0"/>
              <w:jc w:val="end"/>
              <w:rPr>
                <w:rFonts w:ascii="Calibri" w:hAnsi="Calibri"/>
                <w:i/>
                <w:i/>
                <w:sz w:val="18"/>
              </w:rPr>
            </w:pPr>
            <w:r>
              <w:rPr/>
            </w:r>
          </w:p>
        </w:tc>
        <w:tc>
          <w:tcPr>
            <w:tcW w:w="112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0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3" w:type="dxa"/>
            <w:tcBorders/>
            <w:tcMar>
              <w:start w:w="40" w:type="dxa"/>
              <w:end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Style w:val="Hyperlink"/>
          <w:rFonts w:eastAsia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lang w:val="cs-CZ" w:eastAsia="zxx" w:bidi="ar-SA"/>
        </w:rPr>
      </w:pPr>
      <w:r>
        <w:rPr>
          <w:rFonts w:eastAsia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lang w:val="cs-CZ" w:eastAsia="zxx" w:bidi="ar-SA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40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ZO Janov nad Nisou schvaluje Smlouvu o příspěvku na spolufinancování sociálních služeb ORP Jablonec nad Nisou na rok 2025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mezi Obcí Janov nad Nisou a Statutárním městem Jablonec nad Nisou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a pověřuje starostu obce podpisem smlouvy.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</w:rPr>
        <w:t xml:space="preserve">          </w:t>
        <w:tab/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</w:rPr>
        <w:tab/>
        <w:tab/>
        <w:tab/>
        <w:tab/>
        <w:tab/>
        <w:t xml:space="preserve">        </w:t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41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ZO Janov nad Nisou </w:t>
      </w:r>
      <w:r>
        <w:rPr>
          <w:rStyle w:val="Strong"/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bere na vědomí předložený podnět sp. Luka Hrabě s.r.o. Pokyny pro zpracování návrhu změny územního plánu v kapitole G.1.4. OSTATNÍ POŽADAVKY v článku 43, vyplývající ze schválené Zprávy o uplatňování ÚP Janov nad Nisou, již počítají s prověřením stabilizovaných Ploch občanského vybavení – komerční zařízení (OK)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Mgr. Daniel David                                                  Renata Mádlová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starosta obce                                                        místostarostka obce 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8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0" w:name="PageNumWizard_FOOTER_Výchozí_styl_stránk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0"/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LibreOffice/24.2.7.2$Windows_X86_64 LibreOffice_project/ee3885777aa7032db5a9b65deec9457448a91162</Application>
  <AppVersion>15.0000</AppVersion>
  <Pages>3</Pages>
  <Words>703</Words>
  <Characters>3445</Characters>
  <CharactersWithSpaces>4194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2025-04-22T08:04:23Z</dcterms:created>
  <dc:creator/>
  <dc:description/>
  <dc:language>cs-CZ</dc:language>
  <cp:lastModifiedBy/>
  <dcterms:modified xsi:type="dcterms:W3CDTF">2025-05-02T09:33:21Z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